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869" w:rsidRPr="00F06869" w:rsidRDefault="00F06869" w:rsidP="00F06869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</w:p>
    <w:p w:rsidR="00BB237F" w:rsidRPr="00F06869" w:rsidRDefault="00BB237F" w:rsidP="00F06869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F06869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F06869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กฎหมายควบคุมการค้าไม้ของสหภาพยุโรป(</w:t>
      </w:r>
      <w:r w:rsidRPr="00F06869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F06869">
        <w:rPr>
          <w:rFonts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F06869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F06869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BB237F" w:rsidRPr="00D502B0" w:rsidRDefault="00BB237F" w:rsidP="00F06869">
      <w:pPr>
        <w:jc w:val="center"/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</w:pPr>
      <w:r w:rsidRPr="00D502B0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 xml:space="preserve">กิจกรรมที่ </w:t>
      </w:r>
      <w:r w:rsidRPr="00D502B0">
        <w:rPr>
          <w:rFonts w:cs="TH SarabunPSK"/>
          <w:b/>
          <w:color w:val="385623" w:themeColor="accent6" w:themeShade="80"/>
          <w:sz w:val="28"/>
          <w:szCs w:val="28"/>
          <w:lang w:val="de-DE" w:bidi="th-TH"/>
        </w:rPr>
        <w:t>2:</w:t>
      </w:r>
      <w:r w:rsidRPr="00D502B0">
        <w:rPr>
          <w:rFonts w:cs="TH SarabunPSK"/>
          <w:bCs/>
          <w:color w:val="385623" w:themeColor="accent6" w:themeShade="80"/>
          <w:sz w:val="28"/>
          <w:szCs w:val="28"/>
          <w:lang w:val="de-DE" w:bidi="th-TH"/>
        </w:rPr>
        <w:t xml:space="preserve"> </w:t>
      </w:r>
      <w:r w:rsidRPr="00D502B0"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  <w:t>ให้</w:t>
      </w:r>
      <w:bookmarkStart w:id="0" w:name="_GoBack"/>
      <w:bookmarkEnd w:id="0"/>
      <w:r w:rsidRPr="00D502B0"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  <w:t>เลือกถูก หรือผิดสำหรับ</w:t>
      </w:r>
      <w:r w:rsidRPr="00D502B0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กฎหมายควบคุมการค้าไม้ของสหภาพยุโรป (</w:t>
      </w:r>
      <w:r w:rsidRPr="00D502B0">
        <w:rPr>
          <w:rFonts w:cs="TH SarabunPSK"/>
          <w:b/>
          <w:color w:val="385623" w:themeColor="accent6" w:themeShade="80"/>
          <w:sz w:val="28"/>
          <w:szCs w:val="28"/>
          <w:lang w:val="de-DE"/>
        </w:rPr>
        <w:t xml:space="preserve">EU </w:t>
      </w:r>
      <w:proofErr w:type="spellStart"/>
      <w:r w:rsidRPr="00D502B0">
        <w:rPr>
          <w:rFonts w:cs="TH SarabunPSK"/>
          <w:b/>
          <w:color w:val="385623" w:themeColor="accent6" w:themeShade="80"/>
          <w:sz w:val="28"/>
          <w:szCs w:val="28"/>
          <w:lang w:val="de-DE"/>
        </w:rPr>
        <w:t>Timber</w:t>
      </w:r>
      <w:proofErr w:type="spellEnd"/>
      <w:r w:rsidRPr="00D502B0">
        <w:rPr>
          <w:rFonts w:cs="TH SarabunPSK"/>
          <w:b/>
          <w:color w:val="385623" w:themeColor="accent6" w:themeShade="80"/>
          <w:sz w:val="28"/>
          <w:szCs w:val="28"/>
          <w:lang w:val="de-DE"/>
        </w:rPr>
        <w:t xml:space="preserve"> Regulation</w:t>
      </w:r>
      <w:r w:rsidRPr="00D502B0">
        <w:rPr>
          <w:rFonts w:cs="TH SarabunPSK"/>
          <w:bCs/>
          <w:color w:val="385623" w:themeColor="accent6" w:themeShade="80"/>
          <w:sz w:val="28"/>
          <w:szCs w:val="28"/>
          <w:cs/>
          <w:lang w:bidi="th-TH"/>
        </w:rPr>
        <w:t>)</w:t>
      </w:r>
      <w:r w:rsidRPr="00D502B0">
        <w:rPr>
          <w:rFonts w:cs="TH SarabunPSK"/>
          <w:bCs/>
          <w:color w:val="385623" w:themeColor="accent6" w:themeShade="80"/>
          <w:sz w:val="28"/>
          <w:szCs w:val="28"/>
          <w:lang w:val="de-DE" w:bidi="th-TH"/>
        </w:rPr>
        <w:t xml:space="preserve">: </w:t>
      </w:r>
      <w:r w:rsidRPr="00D502B0">
        <w:rPr>
          <w:rFonts w:cs="TH SarabunPSK"/>
          <w:bCs/>
          <w:color w:val="385623" w:themeColor="accent6" w:themeShade="80"/>
          <w:sz w:val="28"/>
          <w:szCs w:val="28"/>
          <w:cs/>
          <w:lang w:val="en-US" w:bidi="th-TH"/>
        </w:rPr>
        <w:t>ส่วนของคำตอบ</w:t>
      </w:r>
    </w:p>
    <w:p w:rsidR="00BB237F" w:rsidRPr="00F06869" w:rsidRDefault="00BB237F" w:rsidP="00F06869">
      <w:pPr>
        <w:rPr>
          <w:rFonts w:cs="TH SarabunPSK"/>
          <w:b/>
          <w:cs/>
          <w:lang w:val="en-US" w:bidi="th-TH"/>
        </w:rPr>
      </w:pPr>
      <w:r w:rsidRPr="00F06869">
        <w:rPr>
          <w:rFonts w:cs="TH SarabunPSK"/>
          <w:b/>
          <w:cs/>
          <w:lang w:val="en-US" w:bidi="th-TH"/>
        </w:rPr>
        <w:t>แบบฝึกหัดนี้มีวัตถุประสงค์เพื่อตรวจสอบความเข้าใจของผู้เข้าร่วม เกี่ยวกับ</w:t>
      </w:r>
      <w:r w:rsidRPr="00F06869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F06869">
        <w:rPr>
          <w:rFonts w:cs="TH SarabunPSK"/>
        </w:rPr>
        <w:t>EU Timber Regulation</w:t>
      </w:r>
      <w:r w:rsidRPr="00F06869">
        <w:rPr>
          <w:rFonts w:cs="TH SarabunPSK"/>
          <w:cs/>
          <w:lang w:bidi="th-TH"/>
        </w:rPr>
        <w:t>)</w:t>
      </w:r>
      <w:r w:rsidRPr="00F06869">
        <w:rPr>
          <w:rFonts w:cs="TH SarabunPSK"/>
          <w:b/>
          <w:cs/>
          <w:lang w:val="en-US" w:bidi="th-TH"/>
        </w:rPr>
        <w:t xml:space="preserve"> กรุณาเลือกตอบถูก (</w:t>
      </w:r>
      <w:r w:rsidRPr="00F06869">
        <w:rPr>
          <w:rFonts w:cs="TH SarabunPSK"/>
          <w:bCs/>
          <w:lang w:val="en-US" w:bidi="th-TH"/>
        </w:rPr>
        <w:t xml:space="preserve">True: T) </w:t>
      </w:r>
      <w:r w:rsidRPr="00F06869">
        <w:rPr>
          <w:rFonts w:cs="TH SarabunPSK"/>
          <w:b/>
          <w:cs/>
          <w:lang w:val="en-US" w:bidi="th-TH"/>
        </w:rPr>
        <w:t>หรือผิด (</w:t>
      </w:r>
      <w:r w:rsidRPr="00F06869">
        <w:rPr>
          <w:rFonts w:cs="TH SarabunPSK"/>
          <w:bCs/>
          <w:lang w:val="en-US" w:bidi="th-TH"/>
        </w:rPr>
        <w:t xml:space="preserve">False: F) </w:t>
      </w:r>
      <w:r w:rsidRPr="00F06869">
        <w:rPr>
          <w:rFonts w:cs="TH SarabunPSK"/>
          <w:b/>
          <w:cs/>
          <w:lang w:val="en-US" w:bidi="th-TH"/>
        </w:rPr>
        <w:t>และแสดงคำตอบที่ถูกต้องในคอลัมภ์คำอธิบาย</w:t>
      </w:r>
    </w:p>
    <w:tbl>
      <w:tblPr>
        <w:tblStyle w:val="Tabellenraster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3387"/>
        <w:gridCol w:w="1007"/>
        <w:gridCol w:w="4678"/>
      </w:tblGrid>
      <w:tr w:rsidR="00BB237F" w:rsidRPr="00F06869" w:rsidTr="00F06869">
        <w:trPr>
          <w:tblHeader/>
        </w:trPr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  <w:b/>
              </w:rPr>
            </w:pP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  <w:b/>
                <w:lang w:bidi="th-TH"/>
              </w:rPr>
            </w:pPr>
            <w:r w:rsidRPr="00F06869">
              <w:rPr>
                <w:rFonts w:cs="TH SarabunPSK"/>
                <w:b/>
                <w:cs/>
                <w:lang w:bidi="th-TH"/>
              </w:rPr>
              <w:t>คำถาม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b/>
                <w:lang w:bidi="th-TH"/>
              </w:rPr>
            </w:pPr>
            <w:r w:rsidRPr="00F06869">
              <w:rPr>
                <w:rFonts w:cs="TH SarabunPSK"/>
                <w:b/>
                <w:cs/>
                <w:lang w:bidi="th-TH"/>
              </w:rPr>
              <w:t>คำตอบ</w:t>
            </w:r>
          </w:p>
        </w:tc>
        <w:tc>
          <w:tcPr>
            <w:tcW w:w="4678" w:type="dxa"/>
          </w:tcPr>
          <w:p w:rsidR="00BB237F" w:rsidRPr="00F06869" w:rsidRDefault="00BB237F" w:rsidP="00F06869">
            <w:pPr>
              <w:rPr>
                <w:rFonts w:cs="TH SarabunPSK"/>
                <w:b/>
                <w:lang w:bidi="th-TH"/>
              </w:rPr>
            </w:pPr>
            <w:r w:rsidRPr="00F06869">
              <w:rPr>
                <w:rFonts w:cs="TH SarabunPSK"/>
                <w:b/>
                <w:cs/>
                <w:lang w:bidi="th-TH"/>
              </w:rPr>
              <w:t>คำอธิบาย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1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385623" w:themeColor="accent6" w:themeShade="80"/>
              </w:rPr>
              <w:t>EU T</w:t>
            </w:r>
            <w:r w:rsidRPr="00F06869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) มีผลผูกพันและนำมาใช้กับผู้นำเข้าไม้เท่านั้น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ผิด</w:t>
            </w:r>
          </w:p>
        </w:tc>
        <w:tc>
          <w:tcPr>
            <w:tcW w:w="4678" w:type="dxa"/>
          </w:tcPr>
          <w:p w:rsidR="00BB237F" w:rsidRPr="00F06869" w:rsidRDefault="00AE186E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385623" w:themeColor="accent6" w:themeShade="80"/>
              </w:rPr>
              <w:t>EU T</w:t>
            </w:r>
            <w:r w:rsidRPr="00F06869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) มีผลผูกพันและนำมาใช้กับผู้ปฏิบัติงาน และผู้ค้า โดยผู้ปฏิบัติงานเป็นบริษัท หรือบุคคลที่จัดหา ทำ หรือนำไม้ และผลิตภัณฑ์ที่ทำจากไม้นั้นๆ เข้ามาใน</w:t>
            </w:r>
            <w:r w:rsidRPr="00F06869">
              <w:rPr>
                <w:rFonts w:cs="TH SarabunPSK"/>
                <w:cs/>
                <w:lang w:bidi="th-TH"/>
              </w:rPr>
              <w:t>ตลาดขงอสหภาพยุโรปเป็นครั้งแรก ในขณะที่ผู้ค้าก็คือบริษัท หรือบุคคลที่ซื้อ หรือขายไม้ หรือผลิตภัณฑ์ที่ทำจากไม้ที่มีผู้จัดหา ทำ หรือนำมาไว้ในตลาดภายใน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2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ตลาดของสหภาพยุโรปจะปิดไม่รับไม้มีการตัด หรือปลูกอย่างผิดกฎหมาย (</w:t>
            </w:r>
            <w:r w:rsidRPr="00F06869">
              <w:rPr>
                <w:rFonts w:cs="TH SarabunPSK"/>
                <w:lang w:val="en-US" w:bidi="th-TH"/>
              </w:rPr>
              <w:t>Il</w:t>
            </w:r>
            <w:r w:rsidRPr="00F06869">
              <w:rPr>
                <w:rFonts w:cs="TH SarabunPSK"/>
              </w:rPr>
              <w:t>legally Harvested Timber)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ผิด</w:t>
            </w:r>
          </w:p>
        </w:tc>
        <w:tc>
          <w:tcPr>
            <w:tcW w:w="4678" w:type="dxa"/>
          </w:tcPr>
          <w:p w:rsidR="00BB237F" w:rsidRPr="00F06869" w:rsidRDefault="00AE186E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385623" w:themeColor="accent6" w:themeShade="80"/>
              </w:rPr>
              <w:t>EU T</w:t>
            </w:r>
            <w:r w:rsidRPr="00F06869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  <w:r w:rsidRPr="00F06869">
              <w:rPr>
                <w:rFonts w:cs="TH SarabunPSK"/>
                <w:cs/>
                <w:lang w:bidi="th-TH"/>
              </w:rPr>
              <w:t xml:space="preserve"> มิใช่เป็นเครื่องมือ หรือมาตรการแบบกว้างๆ แต่เป็นแนวทางการดำเนินงานอย่างเป็นระบบ และมีเป้าหมายไปที่พฤติกรรมของผู้ปฏิบัติงานที่อยู่ในสหภาพยุโรปเท่านั้น ดังนั้นหน่วยงานด้านศุลกากรจะไม่ตรวจสอบการขนส่งลำเลียง ณ จุดที่นำเข้า แต่จะมีการนำกฎหมายมาใช้ก็ต่อเมื่อมีการปล่อยสินค้านั้นๆ ออกสู่ตลาดโดยทั่วไป เช่น เมื่อผ่านการตรวจด้านศุลกากร และ</w:t>
            </w:r>
            <w:r w:rsidR="00597A03" w:rsidRPr="00F06869">
              <w:rPr>
                <w:rFonts w:cs="TH SarabunPSK"/>
                <w:cs/>
                <w:lang w:bidi="th-TH"/>
              </w:rPr>
              <w:t xml:space="preserve"> ณ เวลาที่มีการนำสินค้านั้นๆ เข้าสู่ท้องตลาด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3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385623" w:themeColor="accent6" w:themeShade="80"/>
              </w:rPr>
              <w:t>EU T</w:t>
            </w:r>
            <w:r w:rsidRPr="00F06869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) มีผล</w:t>
            </w:r>
            <w:r w:rsidRPr="00F06869">
              <w:rPr>
                <w:rFonts w:cs="TH SarabunPSK"/>
                <w:cs/>
                <w:lang w:bidi="th-TH"/>
              </w:rPr>
              <w:t xml:space="preserve">บังคับใช้ในวันที่ </w:t>
            </w:r>
            <w:r w:rsidRPr="00F06869">
              <w:rPr>
                <w:rFonts w:cs="TH SarabunPSK"/>
              </w:rPr>
              <w:t xml:space="preserve">3 </w:t>
            </w:r>
            <w:r w:rsidRPr="00F06869">
              <w:rPr>
                <w:rFonts w:cs="TH SarabunPSK"/>
                <w:cs/>
                <w:lang w:bidi="th-TH"/>
              </w:rPr>
              <w:t>มีนาคม</w:t>
            </w:r>
            <w:r w:rsidRPr="00F06869">
              <w:rPr>
                <w:rFonts w:cs="TH SarabunPSK"/>
              </w:rPr>
              <w:t xml:space="preserve"> 2556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ถูก</w:t>
            </w:r>
          </w:p>
        </w:tc>
        <w:tc>
          <w:tcPr>
            <w:tcW w:w="4678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4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 xml:space="preserve">ทั้งผู้ค้า </w:t>
            </w:r>
            <w:r w:rsidRPr="00F06869">
              <w:rPr>
                <w:rFonts w:cs="TH SarabunPSK"/>
                <w:cs/>
                <w:lang w:bidi="th-TH"/>
              </w:rPr>
              <w:lastRenderedPageBreak/>
              <w:t>และผู้ปฏิบัติงานจำเป็นต้องดำเนินระบบสอบทานธุรกิจ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lastRenderedPageBreak/>
              <w:t>ผิด</w:t>
            </w:r>
          </w:p>
        </w:tc>
        <w:tc>
          <w:tcPr>
            <w:tcW w:w="4678" w:type="dxa"/>
          </w:tcPr>
          <w:p w:rsidR="00F05999" w:rsidRPr="00F06869" w:rsidRDefault="00F05999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มีเพียงผู้ปฏิบัติงานเท่านั้นที่จะต้องทำระบบการสอบ</w:t>
            </w:r>
            <w:r w:rsidRPr="00F06869">
              <w:rPr>
                <w:rFonts w:cs="TH SarabunPSK"/>
                <w:cs/>
                <w:lang w:bidi="th-TH"/>
              </w:rPr>
              <w:lastRenderedPageBreak/>
              <w:t>ทานธุรกิจ โดยที่ผู้ค้าจำเป็นต้องเก็บรักษาข้อมูล</w:t>
            </w:r>
            <w:r w:rsidR="00EF613F" w:rsidRPr="00F06869">
              <w:rPr>
                <w:rFonts w:cs="TH SarabunPSK"/>
                <w:cs/>
                <w:lang w:bidi="th-TH"/>
              </w:rPr>
              <w:t>เพื่อการสืบมาตรฐานเอาไว้ โดยมีรายละเอียด</w:t>
            </w:r>
          </w:p>
          <w:p w:rsidR="00EF613F" w:rsidRPr="00F06869" w:rsidRDefault="00EF613F" w:rsidP="00F06869">
            <w:pPr>
              <w:pStyle w:val="Listenabsatz"/>
              <w:numPr>
                <w:ilvl w:val="0"/>
                <w:numId w:val="3"/>
              </w:num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ท่านนำไม้ หรือผลิตภ</w:t>
            </w:r>
            <w:r w:rsidR="00DB6F02" w:rsidRPr="00F06869">
              <w:rPr>
                <w:rFonts w:cs="TH SarabunPSK"/>
                <w:cs/>
                <w:lang w:bidi="th-TH"/>
              </w:rPr>
              <w:t>ัณฑ์ที่ทำจากไม้มาจากใคร</w:t>
            </w:r>
          </w:p>
          <w:p w:rsidR="00BB237F" w:rsidRPr="00F06869" w:rsidRDefault="00EF613F" w:rsidP="00F06869">
            <w:pPr>
              <w:pStyle w:val="Listenabsatz"/>
              <w:numPr>
                <w:ilvl w:val="0"/>
                <w:numId w:val="3"/>
              </w:num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หากเป็นไปได้ คุณได้ขายไม้หรือผลิตภัณฑ์ที่ทำจากไม้</w:t>
            </w:r>
            <w:r w:rsidR="00DB6F02" w:rsidRPr="00F06869">
              <w:rPr>
                <w:rFonts w:cs="TH SarabunPSK"/>
                <w:cs/>
                <w:lang w:bidi="th-TH"/>
              </w:rPr>
              <w:t>ไปให้ใคร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lastRenderedPageBreak/>
              <w:t>5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spacing w:line="276" w:lineRule="auto"/>
              <w:rPr>
                <w:rFonts w:cs="TH SarabunPSK"/>
              </w:rPr>
            </w:pPr>
            <w:r w:rsidRPr="00F06869">
              <w:rPr>
                <w:rFonts w:cs="TH SarabunPSK"/>
                <w:b/>
                <w:cs/>
                <w:lang w:bidi="th-TH"/>
              </w:rPr>
              <w:t>ผลิตภัณฑ์ที่ได้รับอนุญาตตามการบังคับใช้กฎหมายป่าไม้ ธรรมาภิบาล และการค้า (</w:t>
            </w:r>
            <w:r w:rsidRPr="00F06869">
              <w:rPr>
                <w:rFonts w:cs="TH SarabunPSK"/>
                <w:bCs/>
                <w:lang w:val="en-US" w:bidi="th-TH"/>
              </w:rPr>
              <w:t>FLEGT</w:t>
            </w:r>
            <w:r w:rsidRPr="00F06869">
              <w:rPr>
                <w:rFonts w:cs="TH SarabunPSK"/>
                <w:cs/>
                <w:lang w:bidi="th-TH"/>
              </w:rPr>
              <w:t>) และผลิตภัณฑ์ใน</w:t>
            </w:r>
            <w:r w:rsidRPr="00F06869">
              <w:rPr>
                <w:rStyle w:val="Hervorhebung"/>
                <w:rFonts w:cs="TH SarabunPSK"/>
                <w:shd w:val="clear" w:color="auto" w:fill="FFFFFF"/>
                <w:cs/>
                <w:lang w:bidi="th-TH"/>
              </w:rPr>
              <w:t>อนุสัญญา</w:t>
            </w:r>
            <w:r w:rsidRPr="00F06869">
              <w:rPr>
                <w:rFonts w:cs="TH SarabunPSK"/>
                <w:shd w:val="clear" w:color="auto" w:fill="FFFFFF"/>
                <w:cs/>
                <w:lang w:bidi="th-TH"/>
              </w:rPr>
              <w:t>ว่าด้วยการค้าระหว่างประเทศ ซึ่งชนิดสัตว์ป่าและพืชป่าที่ใกล้จะสูญพันธุ์</w:t>
            </w:r>
            <w:r w:rsidRPr="00F06869">
              <w:rPr>
                <w:rStyle w:val="apple-converted-space"/>
                <w:rFonts w:cs="TH SarabunPSK"/>
                <w:shd w:val="clear" w:color="auto" w:fill="FFFFFF"/>
              </w:rPr>
              <w:t> </w:t>
            </w:r>
            <w:r w:rsidRPr="00F06869">
              <w:rPr>
                <w:rFonts w:cs="TH SarabunPSK"/>
                <w:cs/>
                <w:lang w:bidi="th-TH"/>
              </w:rPr>
              <w:t>(</w:t>
            </w:r>
            <w:r w:rsidRPr="00F06869">
              <w:rPr>
                <w:rFonts w:cs="TH SarabunPSK"/>
                <w:lang w:val="en-US" w:bidi="th-TH"/>
              </w:rPr>
              <w:t>CITES)</w:t>
            </w:r>
            <w:r w:rsidRPr="00F06869">
              <w:rPr>
                <w:rFonts w:cs="TH SarabunPSK"/>
                <w:cs/>
                <w:lang w:val="en-US" w:bidi="th-TH"/>
              </w:rPr>
              <w:t xml:space="preserve"> ซึ่งมีคำอนุญาต และใบอนุญาตที่ถูกต้องเป็นการดำเนินการตามกฎหมายที่กำหนดนิยามใน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385623" w:themeColor="accent6" w:themeShade="80"/>
              </w:rPr>
              <w:t>EU T</w:t>
            </w:r>
            <w:r w:rsidRPr="00F06869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ถูก</w:t>
            </w:r>
          </w:p>
        </w:tc>
        <w:tc>
          <w:tcPr>
            <w:tcW w:w="4678" w:type="dxa"/>
          </w:tcPr>
          <w:p w:rsidR="00BB237F" w:rsidRPr="00F06869" w:rsidRDefault="00DB6F02" w:rsidP="00F06869">
            <w:pPr>
              <w:spacing w:line="276" w:lineRule="auto"/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แต่ถ้ามีหลักฐานว่าผลิตภัณฑ์นั้นๆ ไม่ได้ปฏิบัติตาม หรือสอดคล้องกับ</w:t>
            </w:r>
            <w:r w:rsidRPr="00F06869">
              <w:rPr>
                <w:rFonts w:cs="TH SarabunPSK"/>
                <w:b/>
                <w:cs/>
                <w:lang w:bidi="th-TH"/>
              </w:rPr>
              <w:t>การบังคับใช้กฎหมายป่าไม้ ธรรมาภิบาล และการค้า (</w:t>
            </w:r>
            <w:r w:rsidRPr="00F06869">
              <w:rPr>
                <w:rFonts w:cs="TH SarabunPSK"/>
                <w:bCs/>
                <w:lang w:val="en-US" w:bidi="th-TH"/>
              </w:rPr>
              <w:t>FLEGT</w:t>
            </w:r>
            <w:r w:rsidRPr="00F06869">
              <w:rPr>
                <w:rFonts w:cs="TH SarabunPSK"/>
                <w:cs/>
                <w:lang w:bidi="th-TH"/>
              </w:rPr>
              <w:t>) หรือข้อปฏิบัติตาม</w:t>
            </w:r>
            <w:r w:rsidRPr="00F06869">
              <w:rPr>
                <w:rStyle w:val="Hervorhebung"/>
                <w:rFonts w:cs="TH SarabunPSK"/>
                <w:i w:val="0"/>
                <w:iCs w:val="0"/>
                <w:shd w:val="clear" w:color="auto" w:fill="FFFFFF"/>
                <w:cs/>
                <w:lang w:bidi="th-TH"/>
              </w:rPr>
              <w:t>อนุสัญญา</w:t>
            </w:r>
            <w:r w:rsidRPr="00F06869">
              <w:rPr>
                <w:rFonts w:cs="TH SarabunPSK"/>
                <w:shd w:val="clear" w:color="auto" w:fill="FFFFFF"/>
                <w:cs/>
                <w:lang w:bidi="th-TH"/>
              </w:rPr>
              <w:t>ว่าด้วยการค้าระหว่างประเทศ ซึ่งชนิดสัตว์ป่าและพืชป่าที่ใกล้จะสูญพันธุ์</w:t>
            </w:r>
            <w:r w:rsidRPr="00F06869">
              <w:rPr>
                <w:rStyle w:val="apple-converted-space"/>
                <w:rFonts w:cs="TH SarabunPSK"/>
                <w:shd w:val="clear" w:color="auto" w:fill="FFFFFF"/>
              </w:rPr>
              <w:t> </w:t>
            </w:r>
            <w:r w:rsidRPr="00F06869">
              <w:rPr>
                <w:rFonts w:cs="TH SarabunPSK"/>
                <w:cs/>
                <w:lang w:bidi="th-TH"/>
              </w:rPr>
              <w:t>(</w:t>
            </w:r>
            <w:r w:rsidRPr="00F06869">
              <w:rPr>
                <w:rFonts w:cs="TH SarabunPSK"/>
                <w:lang w:val="en-US" w:bidi="th-TH"/>
              </w:rPr>
              <w:t xml:space="preserve">CITES) </w:t>
            </w:r>
            <w:r w:rsidRPr="00F06869">
              <w:rPr>
                <w:rFonts w:cs="TH SarabunPSK"/>
                <w:cs/>
                <w:lang w:val="en-US" w:bidi="th-TH"/>
              </w:rPr>
              <w:t>ก็ให้ผู้ปฏิบัติงานทำหน้าที่ตรวจสอบ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6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ผู้ปฏิบัติงานที่จำหน่ายผลิตภัณฑ์ที่ได้รับการรับรองไม่จำเป็นต้องทำระบบการสอบทานธุรกิจ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ผิด</w:t>
            </w:r>
          </w:p>
        </w:tc>
        <w:tc>
          <w:tcPr>
            <w:tcW w:w="4678" w:type="dxa"/>
          </w:tcPr>
          <w:p w:rsidR="00DB6F02" w:rsidRPr="00F06869" w:rsidRDefault="00DB6F02" w:rsidP="00F06869">
            <w:pPr>
              <w:rPr>
                <w:rFonts w:cs="TH SarabunPSK"/>
                <w:lang w:val="en-US"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กำหนดให้ผู้ปฏิบัติงานต้องจัดทำระบบการสอบทานธุรกิจสำหรับผลิตภัณฑ์ที่อยู่ในข่ายของ</w:t>
            </w:r>
            <w:r w:rsidRPr="00F06869">
              <w:rPr>
                <w:rFonts w:cs="TH SarabunPSK"/>
                <w:cs/>
                <w:lang w:val="en-US" w:bidi="th-TH"/>
              </w:rPr>
              <w:t>กฎหมายที่กำหนดนิยามใน</w:t>
            </w:r>
            <w:r w:rsidRPr="00F06869">
              <w:rPr>
                <w:rFonts w:cs="TH SarabunPSK"/>
                <w:color w:val="0D0D0D" w:themeColor="text1" w:themeTint="F2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0D0D0D" w:themeColor="text1" w:themeTint="F2"/>
              </w:rPr>
              <w:t>EU T</w:t>
            </w:r>
            <w:r w:rsidRPr="00F06869">
              <w:rPr>
                <w:rFonts w:cs="TH SarabunPSK"/>
                <w:color w:val="0D0D0D" w:themeColor="text1" w:themeTint="F2"/>
                <w:lang w:val="en-US" w:bidi="th-TH"/>
              </w:rPr>
              <w:t>R</w:t>
            </w:r>
            <w:r w:rsidRPr="00F06869">
              <w:rPr>
                <w:rFonts w:cs="TH SarabunPSK"/>
                <w:color w:val="0D0D0D" w:themeColor="text1" w:themeTint="F2"/>
                <w:cs/>
                <w:lang w:bidi="th-TH"/>
              </w:rPr>
              <w:t>)</w:t>
            </w:r>
            <w:r w:rsidRPr="00F06869">
              <w:rPr>
                <w:rFonts w:cs="TH SarabunPSK"/>
                <w:cs/>
                <w:lang w:bidi="th-TH"/>
              </w:rPr>
              <w:t xml:space="preserve"> โดยไม่ต้องคำนึงว่า ผลิตภัณฑ์นั้นๆ จะได้รับการตรวจรับรอง หรือไม่ก็ตาม </w:t>
            </w:r>
            <w:r w:rsidRPr="00F06869">
              <w:rPr>
                <w:rFonts w:cs="TH SarabunPSK"/>
                <w:color w:val="0D0D0D" w:themeColor="text1" w:themeTint="F2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0D0D0D" w:themeColor="text1" w:themeTint="F2"/>
              </w:rPr>
              <w:t>EU T</w:t>
            </w:r>
            <w:r w:rsidRPr="00F06869">
              <w:rPr>
                <w:rFonts w:cs="TH SarabunPSK"/>
                <w:color w:val="0D0D0D" w:themeColor="text1" w:themeTint="F2"/>
                <w:lang w:val="en-US" w:bidi="th-TH"/>
              </w:rPr>
              <w:t>R</w:t>
            </w:r>
            <w:r w:rsidRPr="00F06869">
              <w:rPr>
                <w:rFonts w:cs="TH SarabunPSK"/>
                <w:color w:val="0D0D0D" w:themeColor="text1" w:themeTint="F2"/>
                <w:cs/>
                <w:lang w:bidi="th-TH"/>
              </w:rPr>
              <w:t xml:space="preserve">) กำหนดไว้ว่า </w:t>
            </w:r>
            <w:r w:rsidRPr="00F06869">
              <w:rPr>
                <w:rFonts w:cs="TH SarabunPSK"/>
                <w:i/>
                <w:iCs/>
                <w:color w:val="0D0D0D" w:themeColor="text1" w:themeTint="F2"/>
                <w:lang w:val="en-US" w:bidi="th-TH"/>
              </w:rPr>
              <w:t>‘</w:t>
            </w:r>
            <w:r w:rsidR="004D6759" w:rsidRPr="00F06869">
              <w:rPr>
                <w:rFonts w:cs="TH SarabunPSK"/>
                <w:i/>
                <w:iCs/>
                <w:cs/>
                <w:lang w:val="en-US" w:bidi="th-TH"/>
              </w:rPr>
              <w:t>การตรวจรับรอง หรือขั้นตอนการตรวจพิสูจน์โดยบุคคลฝ่ายที่สาม</w:t>
            </w:r>
            <w:r w:rsidR="004D6759" w:rsidRPr="00F06869">
              <w:rPr>
                <w:rFonts w:cs="TH SarabunPSK"/>
                <w:i/>
                <w:iCs/>
                <w:lang w:val="en-US" w:bidi="th-TH"/>
              </w:rPr>
              <w:t xml:space="preserve"> </w:t>
            </w:r>
            <w:r w:rsidR="004D6759" w:rsidRPr="00F06869">
              <w:rPr>
                <w:rFonts w:cs="TH SarabunPSK"/>
                <w:i/>
                <w:iCs/>
                <w:cs/>
                <w:lang w:val="en-US" w:bidi="th-TH"/>
              </w:rPr>
              <w:t>ซึ่งจะครอบคลุมถึงการตรวจสอบการปฏิบัติตามกฎหมายที่เกี่ยวข้อง ซึ่งอาจจะนำมาใช้ในขั้นตอนการประเมินความเสี่ยง</w:t>
            </w:r>
            <w:r w:rsidR="004D6759" w:rsidRPr="00F06869">
              <w:rPr>
                <w:rFonts w:cs="TH SarabunPSK"/>
                <w:i/>
                <w:iCs/>
                <w:lang w:val="en-US" w:bidi="th-TH"/>
              </w:rPr>
              <w:t>’</w:t>
            </w:r>
          </w:p>
          <w:p w:rsidR="004D6759" w:rsidRPr="00F06869" w:rsidRDefault="004D6759" w:rsidP="00F06869">
            <w:pPr>
              <w:rPr>
                <w:rFonts w:cs="TH SarabunPSK"/>
                <w:lang w:val="en-US" w:bidi="th-TH"/>
              </w:rPr>
            </w:pPr>
          </w:p>
          <w:p w:rsidR="00BB237F" w:rsidRPr="00F06869" w:rsidRDefault="004D6759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val="en-US" w:bidi="th-TH"/>
              </w:rPr>
              <w:t>ในทางปฏิบัติ ผู้ปฏิบัติงานอาจจะจัดระดับผลิตภัณฑ์ที่ได้รับการตรวจรับรองทางกฎหมาย หรือการรับรองความน่าเชื่อถือไว้เสมือนการความเสี่ยงของการกระทำผิดกฎหมายที่ควรเพิกเฉย อาทิ ความเหมาะสมในการนำผลิตภัณฑ์วางในท้องตลา</w:t>
            </w:r>
            <w:r w:rsidRPr="00F06869">
              <w:rPr>
                <w:rFonts w:cs="TH SarabunPSK"/>
                <w:cs/>
                <w:lang w:val="en-US" w:bidi="th-TH"/>
              </w:rPr>
              <w:lastRenderedPageBreak/>
              <w:t xml:space="preserve">ด โดยไม่มีมาตรการบรรเทาความเสี่ยงใดๆ </w:t>
            </w:r>
            <w:r w:rsidR="00B940C5" w:rsidRPr="00F06869">
              <w:rPr>
                <w:rFonts w:cs="TH SarabunPSK"/>
                <w:cs/>
                <w:lang w:val="en-US" w:bidi="th-TH"/>
              </w:rPr>
              <w:t>โดยการให้ข้อมูลในส่วนที่เหลือตามที่มีการรวบรวม และตอบคำถามเกี่ยวกับการประเมินความเสี่ยงทที่ไม่ตรงข้างกับข้อสรุปนั้นๆ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lastRenderedPageBreak/>
              <w:t>7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สื่อสิ่งพิมพ์ และวัสดุที่นำกลับมาใช้ใหม่ (รีไซเคิล) เป็นข้อยกเว้นใน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385623" w:themeColor="accent6" w:themeShade="80"/>
              </w:rPr>
              <w:t>EU T</w:t>
            </w:r>
            <w:r w:rsidRPr="00F06869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ถูก</w:t>
            </w:r>
          </w:p>
        </w:tc>
        <w:tc>
          <w:tcPr>
            <w:tcW w:w="4678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8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องค์กร หรือหน่วยงานที่ทำหน้าที่ติดตามจะต้องได้รับการยอมรับโดยหน่วยงานที่มีอำนาจเต็มของประเทศสมาชิก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ผิด</w:t>
            </w:r>
          </w:p>
        </w:tc>
        <w:tc>
          <w:tcPr>
            <w:tcW w:w="4678" w:type="dxa"/>
          </w:tcPr>
          <w:p w:rsidR="00BB237F" w:rsidRPr="00F06869" w:rsidRDefault="00B940C5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องค์กร หรือหน่วยงานที่ทำหน้าที่ติดตามจะต้องได้รับการยอมรับโดย</w:t>
            </w:r>
            <w:r w:rsidR="00C6251D" w:rsidRPr="00F06869">
              <w:rPr>
                <w:rFonts w:cs="TH SarabunPSK"/>
                <w:cs/>
                <w:lang w:bidi="th-TH"/>
              </w:rPr>
              <w:t>คณะกรรมาธิการยุโรป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9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บรรดาวัสดุหีบห่อเป็นข้อยกเว้นจาก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385623" w:themeColor="accent6" w:themeShade="80"/>
              </w:rPr>
              <w:t>EU T</w:t>
            </w:r>
            <w:r w:rsidRPr="00F06869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ผิด</w:t>
            </w:r>
          </w:p>
        </w:tc>
        <w:tc>
          <w:tcPr>
            <w:tcW w:w="4678" w:type="dxa"/>
          </w:tcPr>
          <w:p w:rsidR="00C6251D" w:rsidRPr="00F06869" w:rsidRDefault="00C6251D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ผลิตภัณฑ์ดังต่อไปนี้อยู่ในข่าย หากนำ</w:t>
            </w:r>
            <w:r w:rsidR="00A44B05" w:rsidRPr="00F06869">
              <w:rPr>
                <w:rFonts w:cs="TH SarabunPSK"/>
                <w:cs/>
                <w:lang w:bidi="th-TH"/>
              </w:rPr>
              <w:t>เข้าสู่ท้องตลาดโดยลักษณะของมาตรา</w:t>
            </w:r>
          </w:p>
          <w:p w:rsidR="00A44B05" w:rsidRPr="00F06869" w:rsidRDefault="00A44B05" w:rsidP="00F06869">
            <w:pPr>
              <w:pStyle w:val="Listenabsatz"/>
              <w:numPr>
                <w:ilvl w:val="0"/>
                <w:numId w:val="1"/>
              </w:numPr>
              <w:rPr>
                <w:rFonts w:cs="TH SarabunPSK"/>
                <w:cs/>
              </w:rPr>
            </w:pPr>
            <w:r w:rsidRPr="00F06869">
              <w:rPr>
                <w:rFonts w:cs="TH SarabunPSK"/>
                <w:lang w:val="en-US" w:bidi="th-TH"/>
              </w:rPr>
              <w:t xml:space="preserve">415 </w:t>
            </w:r>
            <w:r w:rsidRPr="00F06869">
              <w:rPr>
                <w:rFonts w:cs="TH SarabunPSK"/>
                <w:cs/>
                <w:lang w:val="en-US" w:bidi="th-TH"/>
              </w:rPr>
              <w:t xml:space="preserve">การบรรจุซอง กล่อง ลังไม้ ม้วน หรือลักษณะหีบห่อคล้ายคลึงกันของไม้ สาย-กล่องไม้ แท่นวางของ </w:t>
            </w:r>
            <w:r w:rsidRPr="00F06869">
              <w:rPr>
                <w:rFonts w:cs="TH SarabunPSK"/>
                <w:cs/>
                <w:lang w:bidi="th-TH"/>
              </w:rPr>
              <w:t xml:space="preserve">กล่องแท่น และแผ่นบรรจุในลักษณะอื่นๆ ของไม้ </w:t>
            </w:r>
            <w:r w:rsidR="001944CF" w:rsidRPr="00F06869">
              <w:rPr>
                <w:rFonts w:cs="TH SarabunPSK"/>
                <w:cs/>
                <w:lang w:bidi="th-TH"/>
              </w:rPr>
              <w:t>รอยต่อของแท่นวางของที่เป็นไม้</w:t>
            </w:r>
          </w:p>
          <w:p w:rsidR="00856339" w:rsidRPr="00F06869" w:rsidRDefault="00BB237F" w:rsidP="00F06869">
            <w:pPr>
              <w:pStyle w:val="Listenabsatz"/>
              <w:numPr>
                <w:ilvl w:val="0"/>
                <w:numId w:val="1"/>
              </w:num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</w:rPr>
              <w:t xml:space="preserve">4819 </w:t>
            </w:r>
            <w:r w:rsidR="001944CF" w:rsidRPr="00F06869">
              <w:rPr>
                <w:rFonts w:cs="TH SarabunPSK"/>
                <w:cs/>
                <w:lang w:bidi="th-TH"/>
              </w:rPr>
              <w:t>กล่อง ซอง กระเป๋า และลักษณะหีบห่อบรรจุภัณฑ์อื่นๆ ที่เป็นกระดาษ กระดาษบอร์ด แผ่นคลุม หรือใยเซลลูโลส แฟ้มกล่อง ถาดใส่จดหมาย และสิ่งของในลักษณะคล้ายคลึงกัน หรือของกระดาษ หรือกระดาษบอร์ดในลักษณะที่ใช้ภายในสำนักงาน ร้านค้า หรือสิ่งที่คล้ายคลึงกัน</w:t>
            </w:r>
          </w:p>
          <w:p w:rsidR="001944CF" w:rsidRPr="00F06869" w:rsidRDefault="001944CF" w:rsidP="00F06869">
            <w:pPr>
              <w:rPr>
                <w:rFonts w:cs="TH SarabunPSK"/>
                <w:cs/>
                <w:lang w:bidi="th-TH"/>
              </w:rPr>
            </w:pPr>
          </w:p>
          <w:p w:rsidR="00BB237F" w:rsidRPr="00F06869" w:rsidRDefault="001944C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 xml:space="preserve">หากเป็นลักษณะของหีบห่อตามที่ระบุไว้ภายใต้รหัส </w:t>
            </w:r>
            <w:r w:rsidRPr="00F06869">
              <w:rPr>
                <w:rFonts w:cs="TH SarabunPSK"/>
                <w:lang w:val="en-US" w:bidi="th-TH"/>
              </w:rPr>
              <w:t xml:space="preserve">HS 4415 </w:t>
            </w:r>
            <w:r w:rsidRPr="00F06869">
              <w:rPr>
                <w:rFonts w:cs="TH SarabunPSK"/>
                <w:cs/>
                <w:lang w:val="en-US" w:bidi="th-TH"/>
              </w:rPr>
              <w:t xml:space="preserve">หรือ </w:t>
            </w:r>
            <w:r w:rsidRPr="00F06869">
              <w:rPr>
                <w:rFonts w:cs="TH SarabunPSK"/>
                <w:lang w:val="en-US" w:bidi="th-TH"/>
              </w:rPr>
              <w:t xml:space="preserve">4819 </w:t>
            </w:r>
            <w:r w:rsidRPr="00F06869">
              <w:rPr>
                <w:rFonts w:cs="TH SarabunPSK"/>
                <w:cs/>
                <w:lang w:val="en-US" w:bidi="th-TH"/>
              </w:rPr>
              <w:t>ซึ่งนำมาใช้สำหรับ “การสนับสนุน การคุ้มครอง หรือการหยิบถือ” ผลิตภัณฑ์อื่นๆ ที่ไม่ครอบคลุม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10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F06869">
              <w:rPr>
                <w:rFonts w:cs="TH SarabunPSK"/>
                <w:color w:val="385623" w:themeColor="accent6" w:themeShade="80"/>
              </w:rPr>
              <w:t>EU T</w:t>
            </w:r>
            <w:r w:rsidRPr="00F06869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F06869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  <w:r w:rsidRPr="00F06869">
              <w:rPr>
                <w:rFonts w:cs="TH SarabunPSK"/>
                <w:cs/>
                <w:lang w:bidi="th-TH"/>
              </w:rPr>
              <w:t xml:space="preserve"> จะนำมาใช้กับไม้และผลิตภัณฑ์ไม้ที่ผลิตในสหภาพยุโรปเท่านั้น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ผิด</w:t>
            </w:r>
          </w:p>
        </w:tc>
        <w:tc>
          <w:tcPr>
            <w:tcW w:w="4678" w:type="dxa"/>
          </w:tcPr>
          <w:p w:rsidR="00BB237F" w:rsidRPr="00F06869" w:rsidRDefault="00A44B05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ระเบียบปฏิบัติครอบคลุมการค้าผลิตภัณฑ์ที่ทำจากไม้ซึ่งอยู่ในตลาดของสหภาพยุโรป และเกี่ยวข้องกับทั้งไม้ที่ผลิตภายใน และนำเข้ามาในพื้นที่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11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ผู้ปฏิบัติงานจะต้องใช้ระบบการสอบทานธุรกิจที่พัฒนาโดยองค์กร หรือหน่วยงานทำหน้าที่ติดตาม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ผิด</w:t>
            </w:r>
          </w:p>
        </w:tc>
        <w:tc>
          <w:tcPr>
            <w:tcW w:w="4678" w:type="dxa"/>
          </w:tcPr>
          <w:p w:rsidR="00BB237F" w:rsidRPr="00F06869" w:rsidRDefault="00A44B05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ผู้ปฏิบัติงานสามารถพัฒนาระบบการสอบทานธุรกิจของตนเอง หรือใช้ระบบการสอบทานธุรกิจที่พัฒนาโดยองค์กร</w:t>
            </w:r>
            <w:r w:rsidRPr="00F06869">
              <w:rPr>
                <w:rFonts w:cs="TH SarabunPSK"/>
                <w:cs/>
                <w:lang w:bidi="th-TH"/>
              </w:rPr>
              <w:lastRenderedPageBreak/>
              <w:t>หรือหน่วยงานที่ทำหน้าที่ติดตามตรวจสอบก็ได้</w:t>
            </w: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lastRenderedPageBreak/>
              <w:t>12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 xml:space="preserve">หน่วยงานที่มีอำนาจเต็มจะทำหน้าที่ตรวจสอบองค์กรหรือหน่วยงานที่ติดตามอย่างน้อยเป็นเวลา </w:t>
            </w:r>
            <w:r w:rsidRPr="00F06869">
              <w:rPr>
                <w:rFonts w:cs="TH SarabunPSK"/>
                <w:lang w:val="en-US" w:bidi="th-TH"/>
              </w:rPr>
              <w:t xml:space="preserve">1 </w:t>
            </w:r>
            <w:r w:rsidRPr="00F06869">
              <w:rPr>
                <w:rFonts w:cs="TH SarabunPSK"/>
                <w:cs/>
                <w:lang w:val="en-US" w:bidi="th-TH"/>
              </w:rPr>
              <w:t xml:space="preserve">ครั้งในช่วงทุกๆ </w:t>
            </w:r>
            <w:r w:rsidRPr="00F06869">
              <w:rPr>
                <w:rFonts w:cs="TH SarabunPSK"/>
                <w:lang w:val="en-US" w:bidi="th-TH"/>
              </w:rPr>
              <w:t xml:space="preserve">2 </w:t>
            </w:r>
            <w:r w:rsidRPr="00F06869">
              <w:rPr>
                <w:rFonts w:cs="TH SarabunPSK"/>
                <w:cs/>
                <w:lang w:val="en-US" w:bidi="th-TH"/>
              </w:rPr>
              <w:t>ปี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ถูก</w:t>
            </w:r>
          </w:p>
        </w:tc>
        <w:tc>
          <w:tcPr>
            <w:tcW w:w="4678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</w:p>
        </w:tc>
      </w:tr>
      <w:tr w:rsidR="00BB237F" w:rsidRPr="00F06869" w:rsidTr="00F06869">
        <w:tc>
          <w:tcPr>
            <w:tcW w:w="534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</w:rPr>
              <w:t>13</w:t>
            </w:r>
          </w:p>
        </w:tc>
        <w:tc>
          <w:tcPr>
            <w:tcW w:w="3387" w:type="dxa"/>
          </w:tcPr>
          <w:p w:rsidR="00BB237F" w:rsidRPr="00F06869" w:rsidRDefault="00BB237F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คณะกรรมาธิการยุโรปกำหนดบทลงโทษสำหรับบรรดาประเทศสมาชิกของสหภาพยุโรปทั้งหมด</w:t>
            </w:r>
          </w:p>
        </w:tc>
        <w:tc>
          <w:tcPr>
            <w:tcW w:w="1007" w:type="dxa"/>
          </w:tcPr>
          <w:p w:rsidR="00BB237F" w:rsidRPr="00F06869" w:rsidRDefault="00BB237F" w:rsidP="00F06869">
            <w:pPr>
              <w:rPr>
                <w:rFonts w:cs="TH SarabunPSK"/>
                <w:lang w:bidi="th-TH"/>
              </w:rPr>
            </w:pPr>
            <w:r w:rsidRPr="00F06869">
              <w:rPr>
                <w:rFonts w:cs="TH SarabunPSK"/>
                <w:cs/>
                <w:lang w:bidi="th-TH"/>
              </w:rPr>
              <w:t>ผิด</w:t>
            </w:r>
          </w:p>
        </w:tc>
        <w:tc>
          <w:tcPr>
            <w:tcW w:w="4678" w:type="dxa"/>
          </w:tcPr>
          <w:p w:rsidR="00BB237F" w:rsidRPr="00F06869" w:rsidRDefault="00856339" w:rsidP="00F06869">
            <w:pPr>
              <w:rPr>
                <w:rFonts w:cs="TH SarabunPSK"/>
              </w:rPr>
            </w:pPr>
            <w:r w:rsidRPr="00F06869">
              <w:rPr>
                <w:rFonts w:cs="TH SarabunPSK"/>
                <w:cs/>
                <w:lang w:bidi="th-TH"/>
              </w:rPr>
              <w:t>ระดับของบทลงโทษตามที่ประเทศสมาชิกกำหนดขึ้น และอาจจะแตกต่างจากประเทศสมาชิกหนึ่งๆ กับประเทศสมาชิกอื่นๆ แต่ในระเบียบปฏิบัติกำหนดว่า บทลงโทษจะต้องเป็นไป “อย่างมีประสิทธิภาพ มีสัดส่วนที่เหมาะสม และ</w:t>
            </w:r>
            <w:r w:rsidR="00A44B05" w:rsidRPr="00F06869">
              <w:rPr>
                <w:rFonts w:cs="TH SarabunPSK"/>
                <w:cs/>
                <w:lang w:bidi="th-TH"/>
              </w:rPr>
              <w:t>เป็นการป้องปราม” การกระทำผิดอื่นๆ</w:t>
            </w:r>
          </w:p>
        </w:tc>
      </w:tr>
    </w:tbl>
    <w:p w:rsidR="00DC5EFE" w:rsidRPr="00F06869" w:rsidRDefault="00DC5EFE" w:rsidP="00F06869">
      <w:pPr>
        <w:rPr>
          <w:rFonts w:cs="TH SarabunPSK"/>
        </w:rPr>
      </w:pPr>
    </w:p>
    <w:sectPr w:rsidR="00DC5EFE" w:rsidRPr="00F06869" w:rsidSect="00496F75">
      <w:headerReference w:type="default" r:id="rId11"/>
      <w:headerReference w:type="first" r:id="rId12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0FB" w:rsidRDefault="005A60FB" w:rsidP="00375F55">
      <w:pPr>
        <w:spacing w:after="0" w:line="240" w:lineRule="auto"/>
      </w:pPr>
      <w:r>
        <w:separator/>
      </w:r>
    </w:p>
  </w:endnote>
  <w:endnote w:type="continuationSeparator" w:id="0">
    <w:p w:rsidR="005A60FB" w:rsidRDefault="005A60FB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0FB" w:rsidRDefault="005A60FB" w:rsidP="00375F55">
      <w:pPr>
        <w:spacing w:after="0" w:line="240" w:lineRule="auto"/>
      </w:pPr>
      <w:r>
        <w:separator/>
      </w:r>
    </w:p>
  </w:footnote>
  <w:footnote w:type="continuationSeparator" w:id="0">
    <w:p w:rsidR="005A60FB" w:rsidRDefault="005A60FB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06869" w:rsidRDefault="00F0686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96D5F"/>
    <w:multiLevelType w:val="hybridMultilevel"/>
    <w:tmpl w:val="52C60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61E9E"/>
    <w:multiLevelType w:val="hybridMultilevel"/>
    <w:tmpl w:val="86BE9A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77395"/>
    <w:multiLevelType w:val="hybridMultilevel"/>
    <w:tmpl w:val="F29AA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33666C"/>
    <w:multiLevelType w:val="hybridMultilevel"/>
    <w:tmpl w:val="EFAC3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133AE5"/>
    <w:rsid w:val="001944CF"/>
    <w:rsid w:val="002A5DFA"/>
    <w:rsid w:val="00375F55"/>
    <w:rsid w:val="00496F75"/>
    <w:rsid w:val="004C17C2"/>
    <w:rsid w:val="004D6759"/>
    <w:rsid w:val="00597A03"/>
    <w:rsid w:val="005A60FB"/>
    <w:rsid w:val="007D04CA"/>
    <w:rsid w:val="00856339"/>
    <w:rsid w:val="009719AE"/>
    <w:rsid w:val="00A10617"/>
    <w:rsid w:val="00A44B05"/>
    <w:rsid w:val="00A80E46"/>
    <w:rsid w:val="00AE186E"/>
    <w:rsid w:val="00B940C5"/>
    <w:rsid w:val="00BB237F"/>
    <w:rsid w:val="00BF40AF"/>
    <w:rsid w:val="00C00EC1"/>
    <w:rsid w:val="00C6251D"/>
    <w:rsid w:val="00C6539D"/>
    <w:rsid w:val="00CD4699"/>
    <w:rsid w:val="00D502B0"/>
    <w:rsid w:val="00DB6F02"/>
    <w:rsid w:val="00DC5EFE"/>
    <w:rsid w:val="00EC57B2"/>
    <w:rsid w:val="00EF613F"/>
    <w:rsid w:val="00F05999"/>
    <w:rsid w:val="00F06869"/>
    <w:rsid w:val="00F9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46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0AF"/>
    <w:rPr>
      <w:rFonts w:ascii="Tahoma" w:hAnsi="Tahoma" w:cs="Tahoma"/>
      <w:sz w:val="16"/>
      <w:szCs w:val="16"/>
    </w:rPr>
  </w:style>
  <w:style w:type="character" w:styleId="Hervorhebung">
    <w:name w:val="Emphasis"/>
    <w:basedOn w:val="Absatz-Standardschriftart"/>
    <w:uiPriority w:val="20"/>
    <w:qFormat/>
    <w:rsid w:val="00BB237F"/>
    <w:rPr>
      <w:i/>
      <w:iCs/>
    </w:rPr>
  </w:style>
  <w:style w:type="character" w:customStyle="1" w:styleId="apple-converted-space">
    <w:name w:val="apple-converted-space"/>
    <w:basedOn w:val="Absatz-Standardschriftart"/>
    <w:rsid w:val="00BB23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D46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Listenabsatz">
    <w:name w:val="List Paragraph"/>
    <w:basedOn w:val="Standard"/>
    <w:uiPriority w:val="34"/>
    <w:qFormat/>
    <w:rsid w:val="00A1061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4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40AF"/>
    <w:rPr>
      <w:rFonts w:ascii="Tahoma" w:hAnsi="Tahoma" w:cs="Tahoma"/>
      <w:sz w:val="16"/>
      <w:szCs w:val="16"/>
    </w:rPr>
  </w:style>
  <w:style w:type="character" w:styleId="Hervorhebung">
    <w:name w:val="Emphasis"/>
    <w:basedOn w:val="Absatz-Standardschriftart"/>
    <w:uiPriority w:val="20"/>
    <w:qFormat/>
    <w:rsid w:val="00BB237F"/>
    <w:rPr>
      <w:i/>
      <w:iCs/>
    </w:rPr>
  </w:style>
  <w:style w:type="character" w:customStyle="1" w:styleId="apple-converted-space">
    <w:name w:val="apple-converted-space"/>
    <w:basedOn w:val="Absatz-Standardschriftart"/>
    <w:rsid w:val="00BB2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706</Words>
  <Characters>4453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3</cp:revision>
  <dcterms:created xsi:type="dcterms:W3CDTF">2015-03-05T23:29:00Z</dcterms:created>
  <dcterms:modified xsi:type="dcterms:W3CDTF">2015-03-05T23:30:00Z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